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FA9" w:rsidRPr="00BB6D05" w:rsidRDefault="00B15FA9" w:rsidP="00B15FA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B6D05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5D7FB854" wp14:editId="07CF6714">
            <wp:extent cx="847725" cy="659130"/>
            <wp:effectExtent l="0" t="0" r="9525" b="762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FA9" w:rsidRPr="00BB6D05" w:rsidRDefault="00B15FA9" w:rsidP="00B15FA9">
      <w:pPr>
        <w:tabs>
          <w:tab w:val="left" w:pos="3450"/>
          <w:tab w:val="center" w:pos="4478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15FA9" w:rsidRPr="00BB6D05" w:rsidRDefault="00B15FA9" w:rsidP="00B15FA9">
      <w:pPr>
        <w:tabs>
          <w:tab w:val="left" w:pos="3450"/>
          <w:tab w:val="center" w:pos="4478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15FA9" w:rsidRPr="00BB6D05" w:rsidRDefault="00B15FA9" w:rsidP="00B15FA9">
      <w:pPr>
        <w:jc w:val="center"/>
        <w:rPr>
          <w:rFonts w:ascii="Times New Roman" w:hAnsi="Times New Roman" w:cs="Times New Roman"/>
          <w:b/>
          <w:spacing w:val="100"/>
          <w:sz w:val="32"/>
          <w:szCs w:val="32"/>
        </w:rPr>
      </w:pPr>
      <w:r w:rsidRPr="00BB6D05">
        <w:rPr>
          <w:rFonts w:ascii="Times New Roman" w:hAnsi="Times New Roman" w:cs="Times New Roman"/>
          <w:b/>
          <w:spacing w:val="100"/>
          <w:sz w:val="32"/>
          <w:szCs w:val="32"/>
        </w:rPr>
        <w:t>TRIBUNALE DI AVELLINO</w:t>
      </w:r>
    </w:p>
    <w:p w:rsidR="00B15FA9" w:rsidRPr="00BB6D05" w:rsidRDefault="00B15FA9" w:rsidP="00B15FA9">
      <w:pPr>
        <w:spacing w:after="100" w:afterAutospacing="1"/>
        <w:ind w:left="4205" w:right="34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:rsidR="00B15FA9" w:rsidRPr="00BB6D05" w:rsidRDefault="00B15FA9" w:rsidP="006D2233">
      <w:pPr>
        <w:spacing w:after="100" w:afterAutospacing="1"/>
        <w:ind w:right="34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:rsidR="00B15FA9" w:rsidRPr="00BB6D05" w:rsidRDefault="00B15FA9" w:rsidP="00BB6D05">
      <w:pPr>
        <w:spacing w:after="100" w:afterAutospacing="1"/>
        <w:ind w:right="34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:rsidR="00BE65E2" w:rsidRPr="00BB6D05" w:rsidRDefault="00B15FA9" w:rsidP="00BB6D05">
      <w:pPr>
        <w:spacing w:after="100" w:afterAutospacing="1"/>
        <w:ind w:left="4205" w:right="3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Presso il Tribunale è istituito l’</w:t>
      </w:r>
      <w:r w:rsidR="00BE65E2" w:rsidRPr="00BB6D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A</w:t>
      </w:r>
      <w:r w:rsidRPr="00BB6D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 xml:space="preserve">lbo dei Consulenti Tecnici </w:t>
      </w:r>
      <w:r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(esperti in ambito civile)</w:t>
      </w:r>
      <w:r w:rsidR="00BE65E2"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e</w:t>
      </w:r>
      <w:r w:rsidR="00656D76"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r w:rsidR="00BE65E2"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l’</w:t>
      </w:r>
      <w:r w:rsidR="00BE65E2" w:rsidRPr="00BB6D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 xml:space="preserve">Albo dei Periti </w:t>
      </w:r>
      <w:r w:rsidR="00BE65E2"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(esperti in ambito penale): registri nei quali sono iscritti </w:t>
      </w:r>
      <w:r w:rsidR="00950EEF"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i nomi delle persone, fornite di particolari competenze professionali e tecniche, alle quali il giudice, in caso di necessità, può farsi assistere per il compimento di singoli atti o </w:t>
      </w:r>
      <w:proofErr w:type="spellStart"/>
      <w:r w:rsidR="00950EEF"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pere</w:t>
      </w:r>
      <w:proofErr w:type="spellEnd"/>
      <w:r w:rsidR="00950EEF"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tutto il processo. </w:t>
      </w:r>
    </w:p>
    <w:p w:rsidR="00BE65E2" w:rsidRPr="00BB6D05" w:rsidRDefault="00BE65E2" w:rsidP="007C7683">
      <w:pPr>
        <w:spacing w:after="100" w:afterAutospacing="1"/>
        <w:ind w:left="4205" w:right="3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:rsidR="00B15FA9" w:rsidRPr="00BB6D05" w:rsidRDefault="00B15FA9" w:rsidP="00B15FA9">
      <w:pPr>
        <w:spacing w:after="100" w:afterAutospacing="1"/>
        <w:ind w:left="365" w:right="340"/>
        <w:jc w:val="lef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</w:pPr>
      <w:r w:rsidRPr="00BB6D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NORMATI</w:t>
      </w:r>
      <w:r w:rsidR="007D161C" w:rsidRPr="00BB6D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VA</w:t>
      </w:r>
    </w:p>
    <w:p w:rsidR="00B15FA9" w:rsidRPr="00BB6D05" w:rsidRDefault="00512FFE" w:rsidP="00B15FA9">
      <w:pPr>
        <w:numPr>
          <w:ilvl w:val="0"/>
          <w:numId w:val="1"/>
        </w:numPr>
        <w:spacing w:beforeAutospacing="1" w:afterAutospacing="1"/>
        <w:ind w:left="4085" w:right="34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hyperlink r:id="rId6" w:tooltip="File doc -  Questo link si apre in una nuova finestra." w:history="1">
        <w:r w:rsidR="00B15FA9" w:rsidRPr="00BB6D05">
          <w:rPr>
            <w:rFonts w:ascii="Times New Roman" w:eastAsia="Times New Roman" w:hAnsi="Times New Roman" w:cs="Times New Roman"/>
            <w:color w:val="333333"/>
            <w:sz w:val="24"/>
            <w:szCs w:val="24"/>
            <w:u w:val="single"/>
            <w:lang w:eastAsia="it-IT"/>
          </w:rPr>
          <w:t>Art. 61 Codice di Procedura Civile</w:t>
        </w:r>
      </w:hyperlink>
      <w:r w:rsidR="00B15FA9"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</w:p>
    <w:p w:rsidR="007D161C" w:rsidRPr="00BB6D05" w:rsidRDefault="007D161C" w:rsidP="00B15FA9">
      <w:pPr>
        <w:numPr>
          <w:ilvl w:val="0"/>
          <w:numId w:val="1"/>
        </w:numPr>
        <w:spacing w:beforeAutospacing="1" w:afterAutospacing="1"/>
        <w:ind w:left="4085" w:right="34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Artt. 67 e segg. disp. </w:t>
      </w:r>
      <w:proofErr w:type="spellStart"/>
      <w:r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att</w:t>
      </w:r>
      <w:proofErr w:type="spellEnd"/>
      <w:r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. c.p.p.</w:t>
      </w:r>
    </w:p>
    <w:p w:rsidR="00B15FA9" w:rsidRPr="00BB6D05" w:rsidRDefault="00B15FA9" w:rsidP="00B15FA9">
      <w:pPr>
        <w:numPr>
          <w:ilvl w:val="0"/>
          <w:numId w:val="1"/>
        </w:numPr>
        <w:spacing w:beforeAutospacing="1" w:afterAutospacing="1"/>
        <w:ind w:left="4085" w:right="34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B6D0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it-IT"/>
        </w:rPr>
        <w:t xml:space="preserve">Artt. 13 e segg. </w:t>
      </w:r>
      <w:proofErr w:type="spellStart"/>
      <w:r w:rsidRPr="00BB6D0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it-IT"/>
        </w:rPr>
        <w:t>disp.att</w:t>
      </w:r>
      <w:proofErr w:type="spellEnd"/>
      <w:r w:rsidRPr="00BB6D0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it-IT"/>
        </w:rPr>
        <w:t>. Codice di Procedura Civile</w:t>
      </w:r>
    </w:p>
    <w:p w:rsidR="00B15FA9" w:rsidRPr="00BB6D05" w:rsidRDefault="00512FFE" w:rsidP="00B15FA9">
      <w:pPr>
        <w:numPr>
          <w:ilvl w:val="0"/>
          <w:numId w:val="1"/>
        </w:numPr>
        <w:spacing w:beforeAutospacing="1" w:afterAutospacing="1"/>
        <w:ind w:left="4085" w:right="34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hyperlink r:id="rId7" w:tooltip="File doc -  Questo link si apre in una nuova finestra." w:history="1">
        <w:r w:rsidR="00B15FA9" w:rsidRPr="00BB6D05">
          <w:rPr>
            <w:rFonts w:ascii="Times New Roman" w:eastAsia="Times New Roman" w:hAnsi="Times New Roman" w:cs="Times New Roman"/>
            <w:color w:val="333333"/>
            <w:sz w:val="24"/>
            <w:szCs w:val="24"/>
            <w:u w:val="single"/>
            <w:lang w:eastAsia="it-IT"/>
          </w:rPr>
          <w:t>Art. 7 D.M. n. 44 del 21-02-2011</w:t>
        </w:r>
      </w:hyperlink>
      <w:r w:rsidR="00B15FA9"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- Processo Civile telematico </w:t>
      </w:r>
    </w:p>
    <w:p w:rsidR="00B15FA9" w:rsidRPr="00BB6D05" w:rsidRDefault="00B15FA9" w:rsidP="00B15FA9">
      <w:pPr>
        <w:spacing w:after="100" w:afterAutospacing="1"/>
        <w:ind w:left="365" w:right="340"/>
        <w:jc w:val="lef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</w:pPr>
      <w:r w:rsidRPr="00BB6D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CHI PUO' RICHIEDERLA</w:t>
      </w:r>
    </w:p>
    <w:p w:rsidR="00B15FA9" w:rsidRPr="00BB6D05" w:rsidRDefault="00B15FA9" w:rsidP="00B15FA9">
      <w:pPr>
        <w:spacing w:after="100" w:afterAutospacing="1"/>
        <w:ind w:left="4205" w:right="34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Possono richiedere l’iscrizione agli Albi, coloro che possiedono i seguenti requisiti:</w:t>
      </w:r>
    </w:p>
    <w:p w:rsidR="00B15FA9" w:rsidRPr="00BB6D05" w:rsidRDefault="00B15FA9" w:rsidP="00B15FA9">
      <w:pPr>
        <w:numPr>
          <w:ilvl w:val="0"/>
          <w:numId w:val="2"/>
        </w:numPr>
        <w:spacing w:before="100" w:beforeAutospacing="1" w:after="100" w:afterAutospacing="1"/>
        <w:ind w:left="4085" w:right="34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Essere residenti in un Comune della giurisdizione del Tribunale di Avellino; </w:t>
      </w:r>
    </w:p>
    <w:p w:rsidR="00B15FA9" w:rsidRPr="00BB6D05" w:rsidRDefault="00B15FA9" w:rsidP="00656D76">
      <w:pPr>
        <w:numPr>
          <w:ilvl w:val="0"/>
          <w:numId w:val="2"/>
        </w:numPr>
        <w:spacing w:before="100" w:beforeAutospacing="1" w:after="100" w:afterAutospacing="1"/>
        <w:ind w:left="4085" w:right="34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proofErr w:type="gramStart"/>
      <w:r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essere</w:t>
      </w:r>
      <w:proofErr w:type="gramEnd"/>
      <w:r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iscritti ad un Ordine Professionale territorialmente competente</w:t>
      </w:r>
      <w:r w:rsidR="00656D76"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ovvero in mancanza di un ordine professionale occorre l’iscrizione c/o la Camera Di Commercio come esperto nella specifica materia</w:t>
      </w:r>
    </w:p>
    <w:p w:rsidR="00B15FA9" w:rsidRPr="00BB6D05" w:rsidRDefault="00B15FA9" w:rsidP="00B15FA9">
      <w:pPr>
        <w:numPr>
          <w:ilvl w:val="0"/>
          <w:numId w:val="2"/>
        </w:numPr>
        <w:spacing w:before="100" w:beforeAutospacing="1" w:after="100" w:afterAutospacing="1"/>
        <w:ind w:left="4085" w:right="34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proofErr w:type="gramStart"/>
      <w:r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non</w:t>
      </w:r>
      <w:proofErr w:type="gramEnd"/>
      <w:r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essere iscritti all’Albo dei CTU o all’Albo dei Periti di altro Tribunale. </w:t>
      </w:r>
    </w:p>
    <w:p w:rsidR="00656D76" w:rsidRPr="00BB6D05" w:rsidRDefault="00656D76" w:rsidP="00BB6D05">
      <w:pPr>
        <w:spacing w:before="100" w:beforeAutospacing="1" w:after="100" w:afterAutospacing="1"/>
        <w:ind w:left="4085" w:right="34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:rsidR="00BB6D05" w:rsidRDefault="00BB6D05" w:rsidP="00B15FA9">
      <w:pPr>
        <w:spacing w:after="100" w:afterAutospacing="1"/>
        <w:ind w:left="365" w:right="340"/>
        <w:jc w:val="lef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</w:pPr>
    </w:p>
    <w:p w:rsidR="00BB6D05" w:rsidRDefault="00BB6D05" w:rsidP="00B15FA9">
      <w:pPr>
        <w:spacing w:after="100" w:afterAutospacing="1"/>
        <w:ind w:left="365" w:right="340"/>
        <w:jc w:val="lef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</w:pPr>
    </w:p>
    <w:p w:rsidR="00B15FA9" w:rsidRPr="00BB6D05" w:rsidRDefault="00B15FA9" w:rsidP="00926FE2">
      <w:pPr>
        <w:spacing w:after="100" w:afterAutospacing="1"/>
        <w:ind w:left="365" w:right="340"/>
        <w:jc w:val="lef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</w:pPr>
      <w:r w:rsidRPr="00BB6D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lastRenderedPageBreak/>
        <w:t>DOV</w:t>
      </w:r>
      <w:r w:rsidR="00BB6D05" w:rsidRPr="00BB6D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E</w:t>
      </w:r>
      <w:r w:rsidR="00926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 xml:space="preserve">                                                  </w:t>
      </w:r>
    </w:p>
    <w:p w:rsidR="00926FE2" w:rsidRDefault="00926FE2" w:rsidP="00B15FA9">
      <w:pPr>
        <w:spacing w:after="100" w:afterAutospacing="1"/>
        <w:ind w:left="4205" w:right="34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:rsidR="00B15FA9" w:rsidRPr="00BB6D05" w:rsidRDefault="00B15FA9" w:rsidP="00B15FA9">
      <w:pPr>
        <w:spacing w:after="100" w:afterAutospacing="1"/>
        <w:ind w:left="4205" w:right="34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Presso il Palazzo di Giustizia - Tribunale di Avellino - Ufficio Segreteria del Presidente- settore albo C.T.U.-  Scala A - Piano </w:t>
      </w:r>
      <w:proofErr w:type="gramStart"/>
      <w:r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terzo  -</w:t>
      </w:r>
      <w:proofErr w:type="gramEnd"/>
      <w:r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Stanza </w:t>
      </w:r>
      <w:r w:rsidR="00C84B83"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43</w:t>
      </w:r>
    </w:p>
    <w:p w:rsidR="00B15FA9" w:rsidRPr="00BB6D05" w:rsidRDefault="00B15FA9" w:rsidP="00B15FA9">
      <w:pPr>
        <w:spacing w:after="100" w:afterAutospacing="1"/>
        <w:ind w:left="4205" w:right="34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Responsabile: Funzionario dr.</w:t>
      </w:r>
      <w:r w:rsidR="007D161C"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proofErr w:type="spellStart"/>
      <w:r w:rsidR="007D161C"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ssa</w:t>
      </w:r>
      <w:proofErr w:type="spellEnd"/>
      <w:r w:rsidR="007D161C"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r w:rsidR="00C84B83"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Nicoletta Campobello</w:t>
      </w:r>
      <w:r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br/>
      </w:r>
      <w:r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br/>
        <w:t>Informazioni telefoniche: 0825797</w:t>
      </w:r>
      <w:r w:rsidR="00C84B83"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413</w:t>
      </w:r>
    </w:p>
    <w:p w:rsidR="00C84B83" w:rsidRPr="00BB6D05" w:rsidRDefault="00C84B83" w:rsidP="00B15FA9">
      <w:pPr>
        <w:spacing w:after="100" w:afterAutospacing="1"/>
        <w:ind w:left="4205" w:right="34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proofErr w:type="gramStart"/>
      <w:r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e-mail</w:t>
      </w:r>
      <w:proofErr w:type="gramEnd"/>
      <w:r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: nicoletta.campobello@giustizia.it</w:t>
      </w:r>
    </w:p>
    <w:p w:rsidR="00B15FA9" w:rsidRPr="00BB6D05" w:rsidRDefault="00B15FA9" w:rsidP="00B15FA9">
      <w:pPr>
        <w:spacing w:after="100" w:afterAutospacing="1"/>
        <w:ind w:left="4205" w:right="34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Orario sportello: da lunedì al venerdì 9:</w:t>
      </w:r>
      <w:r w:rsidR="00C84B83"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3</w:t>
      </w:r>
      <w:r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0 - 1</w:t>
      </w:r>
      <w:r w:rsidR="00C84B83"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2</w:t>
      </w:r>
      <w:r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:</w:t>
      </w:r>
      <w:r w:rsidR="00C84B83"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3</w:t>
      </w:r>
      <w:r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0</w:t>
      </w:r>
    </w:p>
    <w:p w:rsidR="00B15FA9" w:rsidRPr="00BB6D05" w:rsidRDefault="00B15FA9" w:rsidP="00B15FA9">
      <w:pPr>
        <w:spacing w:after="100" w:afterAutospacing="1"/>
        <w:ind w:left="365" w:right="340"/>
        <w:jc w:val="lef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</w:pPr>
      <w:r w:rsidRPr="00BB6D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COME SI SVOLGE</w:t>
      </w:r>
    </w:p>
    <w:p w:rsidR="00C84B83" w:rsidRPr="00BB6D05" w:rsidRDefault="00B15FA9" w:rsidP="00BE65E2">
      <w:pPr>
        <w:spacing w:after="100" w:afterAutospacing="1"/>
        <w:ind w:left="4205" w:right="3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L’albo è tenuto dal Presidente del Tribunale; le decisioni relative sono assunte da un Comitato, composto dal Presidente del Tribunale, dal Procuratore della Repubblica e un rappresentante dell’Ordine professionale</w:t>
      </w:r>
      <w:r w:rsidR="00C84B83"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, designato dal consiglio dell’ordine, o dal collegio della categoria, cui appartiene il richiedente l’iscrizione nell’albo dei consulenti tecnici</w:t>
      </w:r>
      <w:r w:rsidR="00BE65E2"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nonché dal Presidente dell’Ordine degli avvocati (per le sole iscrizioni all’Albo dei periti)</w:t>
      </w:r>
      <w:r w:rsidR="00C84B83"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. Quando trattasi di domande presentate da periti estimatori, la designazione è fatta dalla camera di commercio, industria e agricoltura.</w:t>
      </w:r>
    </w:p>
    <w:p w:rsidR="00B15FA9" w:rsidRDefault="00B15FA9" w:rsidP="00B15FA9">
      <w:pPr>
        <w:spacing w:after="100" w:afterAutospacing="1"/>
        <w:ind w:left="4205" w:right="34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B6D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it-IT"/>
        </w:rPr>
        <w:t>Per la richiesta di iscrizione all’albo dei CTU e all’albo dei Periti vanno compilate due pratiche distinte</w:t>
      </w:r>
      <w:r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.</w:t>
      </w:r>
    </w:p>
    <w:p w:rsidR="00926FE2" w:rsidRPr="00926FE2" w:rsidRDefault="00926FE2" w:rsidP="00926FE2">
      <w:pPr>
        <w:spacing w:after="100" w:afterAutospacing="1"/>
        <w:ind w:left="4205" w:right="34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it-IT"/>
        </w:rPr>
      </w:pPr>
      <w:r w:rsidRPr="00926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it-IT"/>
        </w:rPr>
        <w:t xml:space="preserve">La domanda di iscrizione all’Albo dei consulenti tecnici d’ufficio (il cui fac-simile è allegato sul sito del Tribunale) va inoltrata tramite il sistema </w:t>
      </w:r>
      <w:proofErr w:type="spellStart"/>
      <w:r w:rsidRPr="00926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it-IT"/>
        </w:rPr>
        <w:t>ReGindE</w:t>
      </w:r>
      <w:proofErr w:type="spellEnd"/>
      <w:r w:rsidRPr="00926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it-IT"/>
        </w:rPr>
        <w:t xml:space="preserve"> – gestito dal Ministero della Giustizia- inserendo il codice 400212 (iscrizione Albo consulenti) del settore Volontaria Giurisdizione. </w:t>
      </w:r>
      <w:r w:rsidR="00790D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it-IT"/>
        </w:rPr>
        <w:t xml:space="preserve">Si precisa che, una volta compilata, la domanda va convertita in formato pdf e firmata digitalmente </w:t>
      </w:r>
      <w:proofErr w:type="gramStart"/>
      <w:r w:rsidR="00790D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it-IT"/>
        </w:rPr>
        <w:t>in</w:t>
      </w:r>
      <w:proofErr w:type="gramEnd"/>
      <w:r w:rsidR="00790D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it-IT"/>
        </w:rPr>
        <w:t xml:space="preserve"> modo tale da essere inoltrata come atto principale. </w:t>
      </w:r>
    </w:p>
    <w:p w:rsidR="00926FE2" w:rsidRPr="00926FE2" w:rsidRDefault="00926FE2" w:rsidP="00926FE2">
      <w:pPr>
        <w:pStyle w:val="NormaleWeb"/>
        <w:shd w:val="clear" w:color="auto" w:fill="FFFFFF"/>
        <w:spacing w:before="150" w:beforeAutospacing="0" w:after="150" w:afterAutospacing="0" w:line="360" w:lineRule="auto"/>
        <w:ind w:right="147"/>
        <w:jc w:val="both"/>
        <w:rPr>
          <w:color w:val="000000"/>
        </w:rPr>
      </w:pPr>
    </w:p>
    <w:p w:rsidR="00BE65E2" w:rsidRPr="00BB6D05" w:rsidRDefault="00B15FA9" w:rsidP="00656D76">
      <w:pPr>
        <w:spacing w:after="100" w:afterAutospacing="1"/>
        <w:ind w:left="4205" w:right="34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B6D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Alla domanda iscrizione albo dei CTU vanno allegati</w:t>
      </w:r>
    </w:p>
    <w:p w:rsidR="00B15FA9" w:rsidRPr="00BB6D05" w:rsidRDefault="00B15FA9" w:rsidP="00B15FA9">
      <w:pPr>
        <w:numPr>
          <w:ilvl w:val="0"/>
          <w:numId w:val="3"/>
        </w:numPr>
        <w:spacing w:before="96" w:after="100" w:afterAutospacing="1"/>
        <w:ind w:left="4325" w:right="340"/>
        <w:jc w:val="lef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proofErr w:type="gramStart"/>
      <w:r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lastRenderedPageBreak/>
        <w:t>fotocopia</w:t>
      </w:r>
      <w:proofErr w:type="gramEnd"/>
      <w:r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del documento d’identità in corso di validità; </w:t>
      </w:r>
    </w:p>
    <w:p w:rsidR="00B15FA9" w:rsidRPr="00BB6D05" w:rsidRDefault="00B15FA9" w:rsidP="00B15FA9">
      <w:pPr>
        <w:numPr>
          <w:ilvl w:val="0"/>
          <w:numId w:val="3"/>
        </w:numPr>
        <w:spacing w:before="96" w:after="100" w:afterAutospacing="1"/>
        <w:ind w:left="4325" w:right="340"/>
        <w:jc w:val="lef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proofErr w:type="gramStart"/>
      <w:r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fotocopia</w:t>
      </w:r>
      <w:proofErr w:type="gramEnd"/>
      <w:r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codice fiscale; </w:t>
      </w:r>
    </w:p>
    <w:p w:rsidR="00B15FA9" w:rsidRPr="00926FE2" w:rsidRDefault="00B15FA9" w:rsidP="00926FE2">
      <w:pPr>
        <w:numPr>
          <w:ilvl w:val="0"/>
          <w:numId w:val="3"/>
        </w:numPr>
        <w:spacing w:before="96" w:after="100" w:afterAutospacing="1"/>
        <w:ind w:left="4325" w:right="34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proofErr w:type="gramStart"/>
      <w:r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il</w:t>
      </w:r>
      <w:proofErr w:type="gramEnd"/>
      <w:r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curriculum vitae per dimostrare il possesso della “speciale competenza tecnica” richiesta dalla legge (art. 15 disp. </w:t>
      </w:r>
      <w:proofErr w:type="spellStart"/>
      <w:r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att</w:t>
      </w:r>
      <w:proofErr w:type="spellEnd"/>
      <w:r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. c.p.c. e art. 69 disp. </w:t>
      </w:r>
      <w:proofErr w:type="spellStart"/>
      <w:r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att</w:t>
      </w:r>
      <w:proofErr w:type="spellEnd"/>
      <w:r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. c.p.p.)</w:t>
      </w:r>
      <w:r w:rsidR="00926FE2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.</w:t>
      </w:r>
    </w:p>
    <w:p w:rsidR="00B15FA9" w:rsidRPr="00BB6D05" w:rsidRDefault="00B15FA9" w:rsidP="00B15FA9">
      <w:pPr>
        <w:spacing w:after="100" w:afterAutospacing="1"/>
        <w:ind w:left="365" w:right="340"/>
        <w:jc w:val="lef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</w:pPr>
      <w:r w:rsidRPr="00BB6D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NOTA BENE</w:t>
      </w:r>
    </w:p>
    <w:p w:rsidR="00B15FA9" w:rsidRPr="00BB6D05" w:rsidRDefault="00B15FA9" w:rsidP="00B15FA9">
      <w:pPr>
        <w:spacing w:afterAutospacing="1"/>
        <w:ind w:left="4205" w:right="3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Nel quadro del Processo civile telematico, i Consulenti Tecnici d’Ufficio sono tenuti ad iscriversi al Registro Generale degli Indirizzi elettronici (</w:t>
      </w:r>
      <w:proofErr w:type="spellStart"/>
      <w:r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Reginde</w:t>
      </w:r>
      <w:proofErr w:type="spellEnd"/>
      <w:r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) per poter procedere alla consultazione e al deposito in via telematica di atti, istanze e relazioni scritte relativi al processo in cui avranno assunto la veste di ausiliari del giudice. I professionisti non iscritti ad un Albo Professionale (e quelli per i quali l’Ordine di appartenenza non abbia ancora curato la trasmissione delle informazioni necessarie per l’iscrizione al </w:t>
      </w:r>
      <w:proofErr w:type="spellStart"/>
      <w:r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Reginde</w:t>
      </w:r>
      <w:proofErr w:type="spellEnd"/>
      <w:r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) dovranno provvedere in proprio, con le modalità indicate sul sito del Ministero della Giustizia alla pagina.</w:t>
      </w:r>
    </w:p>
    <w:p w:rsidR="00B15FA9" w:rsidRPr="00BB6D05" w:rsidRDefault="00B15FA9" w:rsidP="00B15FA9">
      <w:pPr>
        <w:spacing w:after="100" w:afterAutospacing="1"/>
        <w:ind w:left="365" w:right="340"/>
        <w:jc w:val="lef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</w:pPr>
      <w:r w:rsidRPr="00BB6D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COSTI</w:t>
      </w:r>
    </w:p>
    <w:p w:rsidR="00B15FA9" w:rsidRPr="00BB6D05" w:rsidRDefault="00B15FA9" w:rsidP="00B15FA9">
      <w:pPr>
        <w:numPr>
          <w:ilvl w:val="0"/>
          <w:numId w:val="4"/>
        </w:numPr>
        <w:spacing w:before="100" w:beforeAutospacing="1" w:after="100" w:afterAutospacing="1"/>
        <w:ind w:left="4085" w:right="34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La domanda va presentata in bollo da € 16,00 </w:t>
      </w:r>
      <w:r w:rsidR="00656D76"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(</w:t>
      </w:r>
      <w:r w:rsidR="004C30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 xml:space="preserve">come previsto dall’art. 13 d.lgs. 149/2022 a modifica dell’art. 196, comma 1, del d.p.r. 115/2002 </w:t>
      </w:r>
      <w:r w:rsidR="00926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–</w:t>
      </w:r>
      <w:r w:rsidR="004C30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 xml:space="preserve"> TUSG</w:t>
      </w:r>
      <w:r w:rsidR="00926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 xml:space="preserve">, </w:t>
      </w:r>
      <w:r w:rsidR="00926FE2" w:rsidRPr="00BB6D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il versamento de</w:t>
      </w:r>
      <w:r w:rsidR="00926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 xml:space="preserve">l bollo </w:t>
      </w:r>
      <w:r w:rsidR="00926FE2" w:rsidRPr="00BB6D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va effettuato in via telematica tramite il sistema pago PA</w:t>
      </w:r>
      <w:r w:rsidR="00926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 xml:space="preserve"> </w:t>
      </w:r>
      <w:r w:rsidR="00D079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 xml:space="preserve">– diritti di cancelleria – causale imposta di bollo per iscrizione all’Albo </w:t>
      </w:r>
      <w:proofErr w:type="spellStart"/>
      <w:r w:rsidR="00D079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ctu</w:t>
      </w:r>
      <w:proofErr w:type="spellEnd"/>
      <w:r w:rsidR="00D079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 xml:space="preserve"> ed, in via eccezionale, tramite consegna a mani al Funzionario responsabile del servizio).</w:t>
      </w:r>
    </w:p>
    <w:p w:rsidR="00BB6D05" w:rsidRPr="00BB6D05" w:rsidRDefault="00BB6D05" w:rsidP="00B15FA9">
      <w:pPr>
        <w:numPr>
          <w:ilvl w:val="0"/>
          <w:numId w:val="4"/>
        </w:numPr>
        <w:spacing w:before="100" w:beforeAutospacing="1" w:after="100" w:afterAutospacing="1"/>
        <w:ind w:left="4085" w:right="34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B6D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A seguito della deliberazione positiva del Comitato</w:t>
      </w:r>
      <w:r w:rsidR="004C30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 xml:space="preserve"> (della quale verrà data prontamente notizia dagli </w:t>
      </w:r>
      <w:proofErr w:type="gramStart"/>
      <w:r w:rsidR="004C30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 xml:space="preserve">uffici) </w:t>
      </w:r>
      <w:r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r w:rsidR="004C30AF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la</w:t>
      </w:r>
      <w:proofErr w:type="gramEnd"/>
      <w:r w:rsidR="004C30AF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procedura di iscrizione all’</w:t>
      </w:r>
      <w:r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Albo CTU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va </w:t>
      </w:r>
      <w:r w:rsidR="004C30AF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perfezionata mediante il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versamento della tassa di iscrizione di € 168,00 su c/c postale n. 8003 intestato a “Agenzia delle Entrate – Centro Operativo Pescara – Tasse di Concessione Governative”</w:t>
      </w:r>
      <w:r w:rsidR="00D0790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. N.B. in caso di mancato versamento della tassa, il </w:t>
      </w:r>
      <w:proofErr w:type="spellStart"/>
      <w:r w:rsidR="00D0790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ctu</w:t>
      </w:r>
      <w:proofErr w:type="spellEnd"/>
      <w:r w:rsidR="00D0790D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non sarà iscritto all’Albo. </w:t>
      </w:r>
    </w:p>
    <w:p w:rsidR="00B15FA9" w:rsidRPr="00BB6D05" w:rsidRDefault="00B15FA9" w:rsidP="00B15FA9">
      <w:pPr>
        <w:spacing w:after="100" w:afterAutospacing="1"/>
        <w:ind w:left="365" w:right="340"/>
        <w:jc w:val="lef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</w:pPr>
      <w:r w:rsidRPr="00BB6D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CERTIFICATO DI ISCRIZIONE AGLI ALBI</w:t>
      </w:r>
    </w:p>
    <w:p w:rsidR="00B15FA9" w:rsidRPr="00BB6D05" w:rsidRDefault="00B15FA9" w:rsidP="00B15FA9">
      <w:pPr>
        <w:spacing w:after="100" w:afterAutospacing="1"/>
        <w:ind w:left="4205" w:right="3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Per ottenere un certificato di iscrizione, presentare domanda in bollo di </w:t>
      </w:r>
      <w:r w:rsidRPr="00BB6D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€ 16,00</w:t>
      </w:r>
      <w:r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e all'atto del ritiro consegnare altra marca da bollo di </w:t>
      </w:r>
      <w:r w:rsidRPr="00BB6D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€ 16,00</w:t>
      </w:r>
      <w:r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, oltre a </w:t>
      </w:r>
      <w:r w:rsidRPr="00BB6D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€ 3,</w:t>
      </w:r>
      <w:r w:rsidR="00CA14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92</w:t>
      </w:r>
      <w:r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per diritti di cancelleria (oppure di € 11,54 se è richiesta la consegna prima di tre giorni). Se si </w:t>
      </w:r>
      <w:r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lastRenderedPageBreak/>
        <w:t>desidera la spedizione al proprio domicilio occorre allegare busta già affrancata. Si ricorda che la normativa prevede dal 1.1.2012 "le certificazioni rilasciate dalla Pubblica Amministrazione in ordine a stati, qualità personali e fatti siano valide e utilizzabili solo nei rapporti fra privati". Nei rapporti con gli organi della Pubblica Amministrazione e gestori di pubblici servizi, i certificati e atti di notorietà sono sostituiti dalle dichiarazioni di cui agli artt. 46 e 47 DPR 445/2000 (c.d. autocertificazioni e atti notori).</w:t>
      </w:r>
    </w:p>
    <w:p w:rsidR="00BB6D05" w:rsidRPr="00BB6D05" w:rsidRDefault="00BB6D05" w:rsidP="00B15FA9">
      <w:pPr>
        <w:spacing w:after="100" w:afterAutospacing="1"/>
        <w:ind w:left="4205" w:right="34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</w:pPr>
      <w:r w:rsidRPr="00BB6D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Il versamento dei diritti di cancelleria va effettuato tramite il sistema PAGO PA (v. art. 13 d. lgs. 149/2022 a modifica dell’art. 196, comma 1, D.P.R. 115/2002 ovvero Testo Unico spese di Giustizia)</w:t>
      </w:r>
      <w:r w:rsidR="00CA14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 xml:space="preserve">. Anche il </w:t>
      </w:r>
      <w:r w:rsidR="00CA147C" w:rsidRPr="00BB6D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versamento de</w:t>
      </w:r>
      <w:r w:rsidR="00CA14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 xml:space="preserve">l bollo </w:t>
      </w:r>
      <w:r w:rsidR="00CA147C" w:rsidRPr="00BB6D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 xml:space="preserve">va effettuato in via telematica tramite il sistema </w:t>
      </w:r>
      <w:r w:rsidR="00CA14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 xml:space="preserve">PAGO </w:t>
      </w:r>
      <w:r w:rsidR="00CA147C" w:rsidRPr="00BB6D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PA</w:t>
      </w:r>
      <w:r w:rsidR="00CA14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 xml:space="preserve"> – diritti di cancelleria – causale imposta di bollo per iscrizione all’Albo CTU ed, in via eccezionale, tramite consegna a mani al Funzionario responsabile del servizio).</w:t>
      </w:r>
    </w:p>
    <w:p w:rsidR="00B15FA9" w:rsidRPr="00BB6D05" w:rsidRDefault="00B15FA9" w:rsidP="00B15FA9">
      <w:pPr>
        <w:spacing w:after="100" w:afterAutospacing="1"/>
        <w:ind w:left="365" w:right="340"/>
        <w:jc w:val="lef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</w:pPr>
      <w:r w:rsidRPr="00BB6D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MODULI</w:t>
      </w:r>
    </w:p>
    <w:p w:rsidR="00B15FA9" w:rsidRPr="00BB6D05" w:rsidRDefault="00512FFE" w:rsidP="00B15FA9">
      <w:pPr>
        <w:numPr>
          <w:ilvl w:val="0"/>
          <w:numId w:val="5"/>
        </w:numPr>
        <w:spacing w:beforeAutospacing="1" w:afterAutospacing="1"/>
        <w:ind w:left="4085" w:right="340"/>
        <w:jc w:val="lef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hyperlink r:id="rId8" w:tooltip="File doc -  Questo link si apre in una nuova finestra." w:history="1">
        <w:r w:rsidR="00B15FA9" w:rsidRPr="00BB6D05">
          <w:rPr>
            <w:rFonts w:ascii="Times New Roman" w:eastAsia="Times New Roman" w:hAnsi="Times New Roman" w:cs="Times New Roman"/>
            <w:color w:val="333333"/>
            <w:sz w:val="24"/>
            <w:szCs w:val="24"/>
            <w:u w:val="single"/>
            <w:lang w:eastAsia="it-IT"/>
          </w:rPr>
          <w:t>Modulo iscrizione albo CTU</w:t>
        </w:r>
      </w:hyperlink>
      <w:r w:rsidR="00B15FA9" w:rsidRPr="00BB6D05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</w:p>
    <w:p w:rsidR="00B15FA9" w:rsidRPr="00BB6D05" w:rsidRDefault="00B15FA9" w:rsidP="00B15FA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C50E9" w:rsidRPr="00BB6D05" w:rsidRDefault="00CC50E9">
      <w:pPr>
        <w:rPr>
          <w:rFonts w:ascii="Times New Roman" w:hAnsi="Times New Roman" w:cs="Times New Roman"/>
          <w:sz w:val="24"/>
          <w:szCs w:val="24"/>
        </w:rPr>
      </w:pPr>
    </w:p>
    <w:sectPr w:rsidR="00CC50E9" w:rsidRPr="00BB6D05" w:rsidSect="005E53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32BA4"/>
    <w:multiLevelType w:val="multilevel"/>
    <w:tmpl w:val="DECA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9E2280"/>
    <w:multiLevelType w:val="multilevel"/>
    <w:tmpl w:val="7264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E56FD1"/>
    <w:multiLevelType w:val="multilevel"/>
    <w:tmpl w:val="F26C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0F734A"/>
    <w:multiLevelType w:val="multilevel"/>
    <w:tmpl w:val="799A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16530F"/>
    <w:multiLevelType w:val="multilevel"/>
    <w:tmpl w:val="5720C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FA9"/>
    <w:rsid w:val="000E40ED"/>
    <w:rsid w:val="004C30AF"/>
    <w:rsid w:val="00512FFE"/>
    <w:rsid w:val="00656D76"/>
    <w:rsid w:val="006D2233"/>
    <w:rsid w:val="00790DF9"/>
    <w:rsid w:val="007C7683"/>
    <w:rsid w:val="007D161C"/>
    <w:rsid w:val="00926FE2"/>
    <w:rsid w:val="00950EEF"/>
    <w:rsid w:val="00B15FA9"/>
    <w:rsid w:val="00BB6D05"/>
    <w:rsid w:val="00BE65E2"/>
    <w:rsid w:val="00C84B83"/>
    <w:rsid w:val="00CA147C"/>
    <w:rsid w:val="00CC50E9"/>
    <w:rsid w:val="00D0790D"/>
    <w:rsid w:val="00EA7368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90665-D838-4900-A3BD-6670C13F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5FA9"/>
    <w:pPr>
      <w:spacing w:after="0" w:line="240" w:lineRule="auto"/>
      <w:jc w:val="right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E65E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E65E2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147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14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5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01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bunale.torino.giustizia.it/FileTribunali/70/Sito/Documentazione%20amministrativa/Modulo%20iscrizione%20albo%20CTU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ibunale.torino.giustizia.it/FileTribunali/70/Sito/Documentazione%20amministrativa/Normativa/Art.%207%20D.M.%20n.%2044%20del%2021-02-201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bunale.torino.giustizia.it/FileTribunali/70/Sito/Documentazione%20amministrativa/Normativa/Art.%2061%20Codice%20di%20Procedura%20Civile.doc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6441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Egeria De Angelis</dc:creator>
  <cp:keywords/>
  <dc:description/>
  <cp:lastModifiedBy>Alfredo Scognamiglio</cp:lastModifiedBy>
  <cp:revision>2</cp:revision>
  <cp:lastPrinted>2023-06-30T08:21:00Z</cp:lastPrinted>
  <dcterms:created xsi:type="dcterms:W3CDTF">2023-11-07T15:11:00Z</dcterms:created>
  <dcterms:modified xsi:type="dcterms:W3CDTF">2023-11-07T15:11:00Z</dcterms:modified>
</cp:coreProperties>
</file>